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Methods</w:t>
      </w:r>
    </w:p>
    <w:p>
      <w:pPr>
        <w:spacing w:line="480" w:lineRule="auto"/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 xml:space="preserve">1.1 </w:t>
      </w:r>
      <w:r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hPMSC-Exo isolation and characterization</w:t>
      </w:r>
    </w:p>
    <w:p>
      <w:pPr>
        <w:spacing w:line="480" w:lineRule="auto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 xml:space="preserve">   After 48 h of hPMSC culture, cell culture supernatants were collected and centrifuged at 2,0 00 x g for 15 min, 4 °C, to remove residual cell debris. Next, the supernatant was purified by 0.22um filter and then centrifuged at 10,000 x g for 30 min, 4 °C, to remove large extracellular vesicles. The supernatant was finally transferred to new tubes and ultracentrifuged at 100,000 x g for 70min twice, 4 °C. The pellets were resuspended in PBS and frozen at −80 °C until further use.</w:t>
      </w:r>
    </w:p>
    <w:p>
      <w:pPr>
        <w:spacing w:line="480" w:lineRule="auto"/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 xml:space="preserve">1.2 </w:t>
      </w:r>
      <w:r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TEM</w:t>
      </w:r>
    </w:p>
    <w:p>
      <w:pPr>
        <w:spacing w:line="480" w:lineRule="auto"/>
        <w:ind w:firstLine="240" w:firstLineChars="100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To evaluate the morphology, 10ul hPMSC-E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>xo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 xml:space="preserve"> were suspended in 2% paraformaldehyde and adsorbed onto Formvar-carbon coated grids, stained with 2% uranylacetate, dried, and examined by transmission electron microscopy (H-600 HITACHI microscope, Japan) 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 xml:space="preserve">at 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80 kV.</w:t>
      </w:r>
    </w:p>
    <w:p>
      <w:pPr>
        <w:spacing w:line="480" w:lineRule="auto"/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 xml:space="preserve">1.3 </w:t>
      </w:r>
      <w:r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Size analysis</w:t>
      </w:r>
    </w:p>
    <w:p>
      <w:pPr>
        <w:spacing w:line="480" w:lineRule="auto"/>
        <w:ind w:firstLine="240" w:firstLineChars="100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For particle size analysis, 5 μL of the exosomal suspension using PBS was diluted to 30 μL, and the particle size and concentration of exosomes were analyzed using a Flow NanoAnalyzer (NanoFCM, Xiamen, China) according to the manufacturer’s instructions.</w:t>
      </w:r>
    </w:p>
    <w:p>
      <w:pPr>
        <w:spacing w:line="480" w:lineRule="auto"/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 xml:space="preserve">1.4 </w:t>
      </w:r>
      <w:r>
        <w:rPr>
          <w:rFonts w:hint="default" w:ascii="Times New Roman Italic" w:hAnsi="Times New Roman Italic" w:cs="Times New Roman Italic"/>
          <w:i/>
          <w:iCs w:val="0"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WB</w:t>
      </w:r>
    </w:p>
    <w:p>
      <w:pPr>
        <w:spacing w:line="480" w:lineRule="auto"/>
        <w:ind w:firstLine="240" w:firstLineChars="100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Exosomal samples (20 mg) were lysed on ice in 150–250 μL of RIPA buffer (Solarbio, Beijing, China). The samples were then centrifuged (Z 366) at 4°C and 3,000 g for 15 min, and protein concentrations of the supernatants were quantified using BCA assay kit (P0010, B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>eyotime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>biotechnology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, C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>hina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). Western blotting was then performed as previously d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>e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scribed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instrText xml:space="preserve"> ADDIN EN.CITE &lt;EndNote&gt;&lt;Cite ExcludeYear="1"&gt;&lt;Author&gt;Feng&lt;/Author&gt;&lt;RecNum&gt;1153&lt;/RecNum&gt;&lt;DisplayText&gt;(1)&lt;/DisplayText&gt;&lt;record&gt;&lt;rec-number&gt;1153&lt;/rec-number&gt;&lt;foreign-keys&gt;&lt;key app="EN" db-id="t9avpvff3rztzgesf5vpfaazxs2r59afzw0e" timestamp="1691391630" guid="b9cbe969-6cb5-49f8-b554-26e1858d786c"&gt;1153&lt;/key&gt;&lt;/foreign-keys&gt;&lt;ref-type name="Journal Article"&gt;17&lt;/ref-type&gt;&lt;contributors&gt;&lt;authors&gt;&lt;author&gt;Feng, Lei&lt;/author&gt;&lt;author&gt;Wang, Yi&lt;/author&gt;&lt;author&gt;Fu, Yu&lt;/author&gt;&lt;author&gt;Yimamu, Adilijiang&lt;/author&gt;&lt;author&gt;Guo, Zeyi&lt;/author&gt;&lt;author&gt;Zhou, Chenjie&lt;/author&gt;&lt;author&gt;Li, Shao&lt;/author&gt;&lt;author&gt;Zhang, Linya&lt;/author&gt;&lt;author&gt;Qin, Jiasheng&lt;/author&gt;&lt;author&gt;Liu, Shusong&lt;/author&gt;&lt;author&gt;Xu, Xiaoping&lt;/author&gt;&lt;author&gt;Jiang, Zesheng&lt;/author&gt;&lt;author&gt;Cai, Shaoru&lt;/author&gt;&lt;author&gt;Zhang, Jianmin&lt;/author&gt;&lt;author&gt;Li, Yang&lt;/author&gt;&lt;author&gt;Peng, Qing&lt;/author&gt;&lt;author&gt;Yi, Xiao&lt;/author&gt;&lt;author&gt;He, Guolin&lt;/author&gt;&lt;author&gt;Li, Ting&lt;/author&gt;&lt;author&gt;Gao, Yi&lt;/author&gt;&lt;/authors&gt;&lt;/contributors&gt;&lt;titles&gt;&lt;title&gt;A simple and efficient strategy for cell-based and cell-free-based therapies in acute liver failure: hUCMSCs bioartificial liver&lt;/title&gt;&lt;secondary-title&gt;Bioengineering &amp;amp; Translational Medicine&lt;/secondary-title&gt;&lt;/titles&gt;&lt;periodical&gt;&lt;full-title&gt;Bioengineering &amp;amp; Translational Medicine&lt;/full-title&gt;&lt;abbr-1&gt;Bioengineering &amp;amp; Translational Medicine&lt;/abbr-1&gt;&lt;abbr-2&gt;Bioengineering &amp;amp; Translational Medicine&lt;/abbr-2&gt;&lt;abbr-3&gt;Bioengineering &amp;amp; Translational Medicine,IF-10.711&lt;/abbr-3&gt;&lt;/periodical&gt;&lt;pages&gt;e10552&lt;/pages&gt;&lt;volume&gt;n/a&lt;/volume&gt;&lt;number&gt;n/a&lt;/number&gt;&lt;dates&gt;&lt;/dates&gt;&lt;isbn&gt;2380-6761&lt;/isbn&gt;&lt;urls&gt;&lt;related-urls&gt;&lt;url&gt;https://aiche.onlinelibrary.wiley.com/doi/abs/10.1002/btm2.10552&lt;/url&gt;&lt;/related-urls&gt;&lt;/urls&gt;&lt;electronic-resource-num&gt;https://doi.org/10.1002/btm2.10552&lt;/electronic-resource-num&gt;&lt;/record&gt;&lt;/Cite&gt;&lt;/EndNote&gt;</w:instrTex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(1)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. In brief, the protein samples were electrophoresed on a 10–15% sodium dodecyl sulfate-polyacrylamide gel electrophoresis gel (with 15 μg of protein per well), and the separated proteins were transferred onto polyvinylidene fluoride membranes, which were then blocked with 5% milk in Tris-buffered saline with Tween 20 blocking buffer. The membranes were incubated with antibodies against CD9 (Abcam, ab236630, 1:2000 dilution), CD63 (Abcam, ab59479, 1:2000 dilution), TSG101 (Proteintech, 28283-1-AP, 1:4000 dilution) and Calnexin (Proteintech, 10427-2-AP, 1:2000 dilution) overnight at 4°C. Following incubation with secondary antibody (Thermo Fisher Scientific, MA1108HRP, 1:1000 dilution), the signal was detected using ECL western blotting detection reagents (36208ES60, YEASEN, ShangHai, China).</w:t>
      </w:r>
    </w:p>
    <w:p>
      <w:pPr>
        <w:spacing w:line="480" w:lineRule="auto"/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val="en-US" w:eastAsia="zh-Hans" w:bidi="en-US"/>
          <w14:textFill>
            <w14:solidFill>
              <w14:schemeClr w14:val="tx1"/>
            </w14:solidFill>
          </w14:textFill>
        </w:rPr>
        <w:t>Table</w:t>
      </w:r>
      <w:r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 xml:space="preserve"> S1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c>
          <w:tcPr>
            <w:tcW w:w="2130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PTEN</w:t>
            </w:r>
          </w:p>
        </w:tc>
        <w:tc>
          <w:tcPr>
            <w:tcW w:w="2130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 xml:space="preserve"> 22034-1-AP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1:2000</w:t>
            </w:r>
          </w:p>
        </w:tc>
      </w:tr>
      <w:tr>
        <w:tc>
          <w:tcPr>
            <w:tcW w:w="2130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  <w:t>p-AKT</w:t>
            </w:r>
          </w:p>
        </w:tc>
        <w:tc>
          <w:tcPr>
            <w:tcW w:w="2130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66444-1-Ig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1:5000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AKT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60203-2-Ig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1:5000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  <w:t>p-mTOR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2971S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cell signaling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1:1000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  <w:t>mTOR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297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S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cell signaling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1:1000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TGF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  <w:t>β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21898-1-AP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1:2000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  <w:t>β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Hans" w:bidi="en-US"/>
                <w14:textFill>
                  <w14:solidFill>
                    <w14:schemeClr w14:val="tx1"/>
                  </w14:solidFill>
                </w14:textFill>
              </w:rPr>
              <w:t>actin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66009-1-Ig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1:20000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CD63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ab59479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abcam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1:2000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CD9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ab236630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abcam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1:2000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TSG101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28283-1-AP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1:4000</w:t>
            </w:r>
          </w:p>
        </w:tc>
      </w:tr>
      <w:tr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Calnexin</w:t>
            </w:r>
          </w:p>
        </w:tc>
        <w:tc>
          <w:tcPr>
            <w:tcW w:w="2130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10427-2-AP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proteintech</w:t>
            </w:r>
          </w:p>
        </w:tc>
        <w:tc>
          <w:tcPr>
            <w:tcW w:w="2131" w:type="dxa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Hans" w:bidi="en-US"/>
                <w14:textFill>
                  <w14:solidFill>
                    <w14:schemeClr w14:val="tx1"/>
                  </w14:solidFill>
                </w14:textFill>
              </w:rPr>
              <w:t>1:2000</w:t>
            </w:r>
          </w:p>
        </w:tc>
      </w:tr>
    </w:tbl>
    <w:p>
      <w:pPr>
        <w:spacing w:line="480" w:lineRule="auto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val="en-US" w:eastAsia="zh-Hans" w:bidi="en-US"/>
          <w14:textFill>
            <w14:solidFill>
              <w14:schemeClr w14:val="tx1"/>
            </w14:solidFill>
          </w14:textFill>
        </w:rPr>
        <w:t>Table</w:t>
      </w:r>
      <w:r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eastAsia="zh-Hans" w:bidi="en-US"/>
          <w14:textFill>
            <w14:solidFill>
              <w14:schemeClr w14:val="tx1"/>
            </w14:solidFill>
          </w14:textFill>
        </w:rPr>
        <w:t xml:space="preserve"> S2</w:t>
      </w:r>
    </w:p>
    <w:tbl>
      <w:tblPr>
        <w:tblStyle w:val="4"/>
        <w:tblpPr w:leftFromText="180" w:rightFromText="180" w:vertAnchor="text" w:horzAnchor="page" w:tblpX="1798" w:tblpY="581"/>
        <w:tblOverlap w:val="never"/>
        <w:tblW w:w="571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8526"/>
      </w:tblGrid>
      <w:tr>
        <w:tc>
          <w:tcPr>
            <w:tcW w:w="808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Gene</w:t>
            </w:r>
          </w:p>
        </w:tc>
        <w:tc>
          <w:tcPr>
            <w:tcW w:w="4191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Sequence </w:t>
            </w:r>
          </w:p>
        </w:tc>
      </w:tr>
      <w:tr>
        <w:trPr>
          <w:trHeight w:val="636" w:hRule="atLeast"/>
        </w:trPr>
        <w:tc>
          <w:tcPr>
            <w:tcW w:w="808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33992395"/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miR-2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eastAsia="zh-CN" w:bidi="en-US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-5p</w:t>
            </w:r>
          </w:p>
        </w:tc>
        <w:tc>
          <w:tcPr>
            <w:tcW w:w="4191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39"/>
            <w:bookmarkStart w:id="2" w:name="OLE_LINK38"/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 xml:space="preserve">Forward: CGCGTTCAAGTAATCCAGGA </w:t>
            </w:r>
          </w:p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Reverse: AGTGCAGGGTCCGAGGTATT</w:t>
            </w:r>
            <w:bookmarkEnd w:id="1"/>
            <w:bookmarkEnd w:id="2"/>
          </w:p>
        </w:tc>
      </w:tr>
      <w:tr>
        <w:tc>
          <w:tcPr>
            <w:tcW w:w="808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3" w:name="_Hlk33993368"/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PTEN</w:t>
            </w:r>
          </w:p>
        </w:tc>
        <w:tc>
          <w:tcPr>
            <w:tcW w:w="4191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4" w:name="OLE_LINK324"/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Forward: TGGATTCGACTTAGACTTGACCT </w:t>
            </w:r>
          </w:p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Reverse: GGTGGGTTATGGTCTTCAAAAGG </w:t>
            </w:r>
            <w:bookmarkEnd w:id="4"/>
          </w:p>
        </w:tc>
      </w:tr>
      <w:bookmarkEnd w:id="0"/>
      <w:bookmarkEnd w:id="3"/>
      <w:tr>
        <w:tc>
          <w:tcPr>
            <w:tcW w:w="808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sh-PTEN</w:t>
            </w:r>
          </w:p>
        </w:tc>
        <w:tc>
          <w:tcPr>
            <w:tcW w:w="4191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Forward: GACCAACUCUCUCCUGUAUTT </w:t>
            </w:r>
          </w:p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Reverse: AUACAGGAGAGAGUUGGUCTT </w:t>
            </w:r>
          </w:p>
        </w:tc>
      </w:tr>
      <w:tr>
        <w:tc>
          <w:tcPr>
            <w:tcW w:w="808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LV-PTEN</w:t>
            </w:r>
          </w:p>
        </w:tc>
        <w:tc>
          <w:tcPr>
            <w:tcW w:w="4191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Forward: GAGAAACTACTACCGACAGTACCACCGCTGGCCATGGGCCCCTAGGAG </w:t>
            </w:r>
          </w:p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 xml:space="preserve">Reverse: TCACCATGGTGGCGACCGGGACTTTTGTAATTTGTGAATG </w:t>
            </w:r>
          </w:p>
        </w:tc>
      </w:tr>
      <w:tr>
        <w:tc>
          <w:tcPr>
            <w:tcW w:w="808" w:type="pct"/>
            <w:vAlign w:val="center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</w:pPr>
            <w:bookmarkStart w:id="5" w:name="_Hlk33997197"/>
            <w:bookmarkStart w:id="6" w:name="OLE_LINK35"/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Negative control shRNA</w:t>
            </w:r>
          </w:p>
        </w:tc>
        <w:tc>
          <w:tcPr>
            <w:tcW w:w="4191" w:type="pct"/>
            <w:vAlign w:val="center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5'-CACCGCAGTTCTTCGGATCATGCCGCGAACGTTTACTGTTCTTCGTGAGC -3'</w:t>
            </w:r>
          </w:p>
        </w:tc>
      </w:tr>
      <w:tr>
        <w:tc>
          <w:tcPr>
            <w:tcW w:w="808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U6</w:t>
            </w:r>
          </w:p>
        </w:tc>
        <w:tc>
          <w:tcPr>
            <w:tcW w:w="4191" w:type="pct"/>
          </w:tcPr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Forward: GCTTCGGCAGCACATATACTAAAAT</w:t>
            </w:r>
          </w:p>
          <w:p>
            <w:pPr>
              <w:spacing w:line="480" w:lineRule="auto"/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olor w:val="000000" w:themeColor="text1"/>
                <w:kern w:val="0"/>
                <w:sz w:val="24"/>
                <w:szCs w:val="24"/>
                <w:lang w:bidi="en-US"/>
                <w14:textFill>
                  <w14:solidFill>
                    <w14:schemeClr w14:val="tx1"/>
                  </w14:solidFill>
                </w14:textFill>
              </w:rPr>
              <w:t>Reverse: CGCTTCACGAATTTGCGTGTCAT</w:t>
            </w:r>
          </w:p>
        </w:tc>
      </w:tr>
      <w:bookmarkEnd w:id="5"/>
      <w:bookmarkEnd w:id="6"/>
    </w:tbl>
    <w:p>
      <w:pPr>
        <w:spacing w:line="480" w:lineRule="auto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bookmarkStart w:id="7" w:name="_GoBack"/>
      <w:bookmarkEnd w:id="7"/>
    </w:p>
    <w:p>
      <w:pPr>
        <w:spacing w:line="480" w:lineRule="auto"/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Bold" w:hAnsi="Times New Roman Bold" w:cs="Times New Roman Bold"/>
          <w:b/>
          <w:bCs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References</w:t>
      </w:r>
    </w:p>
    <w:p>
      <w:pPr>
        <w:spacing w:line="480" w:lineRule="auto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instrText xml:space="preserve"> ADDIN EN.REFLIST </w:instrTex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t>Feng L, Wang Y, Fu Y, Yimamu A, Guo Z, Zhou C, et al. A simple and efficient strategy for cell-based and cell-free-based therapies in acute liver failure: hUCMSCs bioartificial liver. Bioengineering &amp; Translational Medicine.n/a(n/a):e10552.</w:t>
      </w:r>
    </w:p>
    <w:p>
      <w:pPr>
        <w:spacing w:line="480" w:lineRule="auto"/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/>
          <w:color w:val="000000" w:themeColor="text1"/>
          <w:kern w:val="0"/>
          <w:sz w:val="24"/>
          <w:szCs w:val="24"/>
          <w:lang w:bidi="en-US"/>
          <w14:textFill>
            <w14:solidFill>
              <w14:schemeClr w14:val="tx1"/>
            </w14:solidFill>
          </w14:textFill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egular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ulliverRM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儷宋 Pro">
    <w:panose1 w:val="02020300000000000000"/>
    <w:charset w:val="86"/>
    <w:family w:val="auto"/>
    <w:pitch w:val="default"/>
    <w:sig w:usb0="00000000" w:usb1="00000000" w:usb2="00000000" w:usb3="00000000" w:csb0="00160000" w:csb1="00000000"/>
  </w:font>
  <w:font w:name="华文宋体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蘋果儷中黑">
    <w:panose1 w:val="00000000000000000000"/>
    <w:charset w:val="86"/>
    <w:family w:val="auto"/>
    <w:pitch w:val="default"/>
    <w:sig w:usb0="00000000" w:usb1="00000000" w:usb2="00000000" w:usb3="00000000" w:csb0="00140000" w:csb1="00000000"/>
  </w:font>
  <w:font w:name="Al Tarikh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Didot Regular">
    <w:panose1 w:val="02000503000000020003"/>
    <w:charset w:val="00"/>
    <w:family w:val="auto"/>
    <w:pitch w:val="default"/>
    <w:sig w:usb0="00000000" w:usb1="00000000" w:usb2="00000000" w:usb3="00000000" w:csb0="00000000" w:csb1="00000000"/>
  </w:font>
  <w:font w:name="Grantha Sangam MN Regular">
    <w:panose1 w:val="00000500000000000000"/>
    <w:charset w:val="00"/>
    <w:family w:val="auto"/>
    <w:pitch w:val="default"/>
    <w:sig w:usb0="00000000" w:usb1="00000000" w:usb2="00000000" w:usb3="00000000" w:csb0="00000000" w:csb1="00000000"/>
  </w:font>
  <w:font w:name="Noto Nastaliq Urdu Regular">
    <w:panose1 w:val="020B0502040504020204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oppan Bunkyu Midashi Mincho">
    <w:panose1 w:val="02020900000000000000"/>
    <w:charset w:val="86"/>
    <w:family w:val="auto"/>
    <w:pitch w:val="default"/>
    <w:sig w:usb0="00000000" w:usb1="00000000" w:usb2="00000000" w:usb3="00000000" w:csb0="00160000" w:csb1="00000000"/>
  </w:font>
  <w:font w:name="Toppan Bunkyu Mincho">
    <w:panose1 w:val="02020400000000000000"/>
    <w:charset w:val="86"/>
    <w:family w:val="auto"/>
    <w:pitch w:val="default"/>
    <w:sig w:usb0="00000000" w:usb1="00000000" w:usb2="00000000" w:usb3="00000000" w:csb0="00160000" w:csb1="00000000"/>
  </w:font>
  <w:font w:name="Tsukushi B Round Gothic Regular">
    <w:panose1 w:val="02020400000000000000"/>
    <w:charset w:val="86"/>
    <w:family w:val="auto"/>
    <w:pitch w:val="default"/>
    <w:sig w:usb0="00000000" w:usb1="00000000" w:usb2="00000000" w:usb3="00000000" w:csb0="00160000" w:csb1="00000000"/>
  </w:font>
  <w:font w:name="Trattatello">
    <w:panose1 w:val="020F0403020200020303"/>
    <w:charset w:val="00"/>
    <w:family w:val="auto"/>
    <w:pitch w:val="default"/>
    <w:sig w:usb0="00000000" w:usb1="00000000" w:usb2="00000000" w:usb3="00000000" w:csb0="00000000" w:csb1="00000000"/>
  </w:font>
  <w:font w:name="Waseem Regular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Telugu MN Regular">
    <w:panose1 w:val="000005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imes New Roman Italic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9avpvff3rztzgesf5vpfaazxs2r59afzw0e&quot;&gt;My EndNote Library&lt;record-ids&gt;&lt;item&gt;1153&lt;/item&gt;&lt;/record-ids&gt;&lt;/item&gt;&lt;/Libraries&gt;"/>
  </w:docVars>
  <w:rsids>
    <w:rsidRoot w:val="76BA2982"/>
    <w:rsid w:val="000A26AD"/>
    <w:rsid w:val="00D12940"/>
    <w:rsid w:val="3EFF3969"/>
    <w:rsid w:val="57FFAC5A"/>
    <w:rsid w:val="5E9FB8C0"/>
    <w:rsid w:val="6EEC6324"/>
    <w:rsid w:val="76BA2982"/>
    <w:rsid w:val="7EEF5B3A"/>
    <w:rsid w:val="7FD76348"/>
    <w:rsid w:val="F6BF8F89"/>
    <w:rsid w:val="FFDFE769"/>
    <w:rsid w:val="FFFAB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Emphasis"/>
    <w:basedOn w:val="5"/>
    <w:qFormat/>
    <w:uiPriority w:val="0"/>
    <w:rPr>
      <w:i/>
    </w:rPr>
  </w:style>
  <w:style w:type="paragraph" w:customStyle="1" w:styleId="7">
    <w:name w:val="EndNote Bibliography Title"/>
    <w:basedOn w:val="1"/>
    <w:link w:val="8"/>
    <w:uiPriority w:val="0"/>
    <w:pPr>
      <w:jc w:val="center"/>
    </w:pPr>
    <w:rPr>
      <w:rFonts w:ascii="Calibri" w:hAnsi="Calibri" w:cs="Calibri"/>
      <w:sz w:val="20"/>
    </w:rPr>
  </w:style>
  <w:style w:type="character" w:customStyle="1" w:styleId="8">
    <w:name w:val="EndNote Bibliography Title 字符"/>
    <w:basedOn w:val="5"/>
    <w:link w:val="7"/>
    <w:uiPriority w:val="0"/>
    <w:rPr>
      <w:rFonts w:ascii="Calibri" w:hAnsi="Calibri" w:cs="Calibri" w:eastAsiaTheme="minorEastAsia"/>
      <w:kern w:val="2"/>
      <w:szCs w:val="24"/>
    </w:rPr>
  </w:style>
  <w:style w:type="paragraph" w:customStyle="1" w:styleId="9">
    <w:name w:val="EndNote Bibliography"/>
    <w:basedOn w:val="1"/>
    <w:link w:val="10"/>
    <w:uiPriority w:val="0"/>
    <w:rPr>
      <w:rFonts w:ascii="Calibri" w:hAnsi="Calibri" w:cs="Calibri"/>
      <w:sz w:val="20"/>
    </w:rPr>
  </w:style>
  <w:style w:type="character" w:customStyle="1" w:styleId="10">
    <w:name w:val="EndNote Bibliography 字符"/>
    <w:basedOn w:val="5"/>
    <w:link w:val="9"/>
    <w:uiPriority w:val="0"/>
    <w:rPr>
      <w:rFonts w:ascii="Calibri" w:hAnsi="Calibri" w:cs="Calibri" w:eastAsiaTheme="minorEastAsia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3678</Characters>
  <Lines>30</Lines>
  <Paragraphs>8</Paragraphs>
  <TotalTime>22</TotalTime>
  <ScaleCrop>false</ScaleCrop>
  <LinksUpToDate>false</LinksUpToDate>
  <CharactersWithSpaces>4315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2023-07-19T20:30:00Z</dcterms:created>
  <dc:creator>医学僧fy</dc:creator>
  <cp:lastModifiedBy>医学僧fy</cp:lastModifiedBy>
  <dcterms:modified xsi:type="dcterms:W3CDTF">2023-09-10T15:01:40Z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85B4BE99B0A7D21A7934B5640CA915C2_41</vt:lpwstr>
  </property>
</Properties>
</file>